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52AF" w14:textId="56489547" w:rsidR="001428AB" w:rsidRDefault="000B7873" w:rsidP="001428AB">
      <w:r w:rsidRPr="0059500E">
        <w:rPr>
          <w:b/>
          <w:bCs/>
        </w:rPr>
        <w:t xml:space="preserve">Introduction </w:t>
      </w:r>
      <w:r>
        <w:t>(</w:t>
      </w:r>
      <w:r w:rsidR="0059500E">
        <w:t>We recommended stating this verbally and including a slide with this information</w:t>
      </w:r>
      <w:r w:rsidR="0059500E">
        <w:t>)</w:t>
      </w:r>
    </w:p>
    <w:p w14:paraId="5712D5CF" w14:textId="72B21815" w:rsidR="001428AB" w:rsidRDefault="001428AB" w:rsidP="001428AB">
      <w:r>
        <w:t>Hello, my name is ____________________ and I would like to introduce you to</w:t>
      </w:r>
      <w:r>
        <w:t xml:space="preserve"> the SESSION NAME</w:t>
      </w:r>
      <w:r>
        <w:t>. Before we begin, I have a few announcements regarding continuing education credit for this activity.</w:t>
      </w:r>
    </w:p>
    <w:p w14:paraId="08A13AF2" w14:textId="77777777" w:rsidR="001428AB" w:rsidRDefault="001428AB" w:rsidP="001428AB">
      <w:r>
        <w:t>All speakers are expected to use generic names. If trade names are used, those of several companies should be used rather than only that of a single company.</w:t>
      </w:r>
    </w:p>
    <w:p w14:paraId="25D6EEEE" w14:textId="0B98683A" w:rsidR="001428AB" w:rsidRDefault="001428AB">
      <w:r>
        <w:t xml:space="preserve">Speakers attest that the content they contribute is supported by the best available knowledge or evidence and are reminded to disclose when products or procedures being discussed are </w:t>
      </w:r>
      <w:proofErr w:type="gramStart"/>
      <w:r>
        <w:t>off-label</w:t>
      </w:r>
      <w:proofErr w:type="gramEnd"/>
      <w:r>
        <w:t>/unlabeled (not FDA approved) and any limitations on the information that is presented.</w:t>
      </w:r>
    </w:p>
    <w:p w14:paraId="06F10A8E" w14:textId="2B2841F4" w:rsidR="001428AB" w:rsidRPr="0059500E" w:rsidRDefault="001428AB" w:rsidP="001428AB">
      <w:pPr>
        <w:rPr>
          <w:color w:val="FF0000"/>
        </w:rPr>
      </w:pPr>
      <w:r w:rsidRPr="0059500E">
        <w:rPr>
          <w:color w:val="FF0000"/>
        </w:rPr>
        <w:t xml:space="preserve">Disclosure statements </w:t>
      </w:r>
      <w:r w:rsidRPr="0059500E">
        <w:rPr>
          <w:color w:val="FF0000"/>
        </w:rPr>
        <w:t xml:space="preserve">for each session </w:t>
      </w:r>
      <w:r w:rsidRPr="0059500E">
        <w:rPr>
          <w:color w:val="FF0000"/>
        </w:rPr>
        <w:t>should be presented in the following format:</w:t>
      </w:r>
    </w:p>
    <w:p w14:paraId="12934FE5" w14:textId="04358C97" w:rsidR="001428AB" w:rsidRDefault="001428AB" w:rsidP="001428AB">
      <w:pPr>
        <w:pStyle w:val="ListParagraph"/>
        <w:numPr>
          <w:ilvl w:val="0"/>
          <w:numId w:val="1"/>
        </w:numPr>
      </w:pPr>
      <w:r>
        <w:t>(Name/Degree/Title/Organization) has nothing to disclose</w:t>
      </w:r>
    </w:p>
    <w:p w14:paraId="155F3AC0" w14:textId="23CC8C46" w:rsidR="0059500E" w:rsidRPr="0059500E" w:rsidRDefault="0059500E" w:rsidP="0059500E">
      <w:pPr>
        <w:pStyle w:val="ListParagraph"/>
        <w:rPr>
          <w:b/>
          <w:bCs/>
          <w:color w:val="FF0000"/>
        </w:rPr>
      </w:pPr>
      <w:proofErr w:type="spellStart"/>
      <w:r w:rsidRPr="0059500E">
        <w:rPr>
          <w:b/>
          <w:bCs/>
          <w:color w:val="FF0000"/>
        </w:rPr>
        <w:t>And/OR</w:t>
      </w:r>
      <w:proofErr w:type="spellEnd"/>
      <w:r w:rsidRPr="0059500E">
        <w:rPr>
          <w:b/>
          <w:bCs/>
          <w:color w:val="FF0000"/>
        </w:rPr>
        <w:t xml:space="preserve"> </w:t>
      </w:r>
    </w:p>
    <w:p w14:paraId="522C35C9" w14:textId="2F9C5BCC" w:rsidR="001428AB" w:rsidRDefault="001428AB" w:rsidP="001428AB">
      <w:pPr>
        <w:pStyle w:val="ListParagraph"/>
        <w:numPr>
          <w:ilvl w:val="0"/>
          <w:numId w:val="1"/>
        </w:numPr>
      </w:pPr>
      <w:r w:rsidRPr="001428AB">
        <w:t xml:space="preserve">(Name/Degree/Title/Organization) has the following relationship(s): </w:t>
      </w:r>
    </w:p>
    <w:p w14:paraId="44C9AD52" w14:textId="70B83BF4" w:rsidR="001428AB" w:rsidRDefault="0059500E" w:rsidP="001428AB">
      <w:proofErr w:type="gramStart"/>
      <w:r>
        <w:t xml:space="preserve">All </w:t>
      </w:r>
      <w:r w:rsidR="000B7873">
        <w:t>of</w:t>
      </w:r>
      <w:proofErr w:type="gramEnd"/>
      <w:r w:rsidR="000B7873">
        <w:t xml:space="preserve"> the </w:t>
      </w:r>
      <w:r>
        <w:t>relevant</w:t>
      </w:r>
      <w:r w:rsidR="001428AB">
        <w:t xml:space="preserve"> financial relationships listed for these individuals have been mitigated.</w:t>
      </w:r>
    </w:p>
    <w:p w14:paraId="3C81E719" w14:textId="77777777" w:rsidR="0059500E" w:rsidRDefault="0059500E" w:rsidP="0059500E">
      <w:r>
        <w:t>Unless otherwise noted, you should receive instructions on how to claim credit at the completion of this activity.</w:t>
      </w:r>
    </w:p>
    <w:p w14:paraId="5E8B803F" w14:textId="77777777" w:rsidR="0059500E" w:rsidRPr="0059500E" w:rsidRDefault="0059500E" w:rsidP="0059500E">
      <w:pPr>
        <w:rPr>
          <w:b/>
          <w:bCs/>
        </w:rPr>
      </w:pPr>
      <w:r w:rsidRPr="0059500E">
        <w:rPr>
          <w:b/>
          <w:bCs/>
        </w:rPr>
        <w:t>Requirements for Receiving CE Credit</w:t>
      </w:r>
    </w:p>
    <w:p w14:paraId="4105BD5D" w14:textId="17C9F4DA" w:rsidR="0059500E" w:rsidRDefault="0059500E" w:rsidP="0059500E">
      <w:r>
        <w:t>Physicians, pharmacists, nurses, and those claiming non-physician CME: must attest to their attendance and complete the final</w:t>
      </w:r>
      <w:r>
        <w:t xml:space="preserve"> </w:t>
      </w:r>
      <w:r>
        <w:t>activity evaluation via the CE Portal (ceportal.fda.gov). For multi-day activities, participants must attest to their attendance and complete</w:t>
      </w:r>
      <w:r>
        <w:t xml:space="preserve"> </w:t>
      </w:r>
      <w:r>
        <w:t>the session evaluation each day. Final activity evaluations must be complete within two weeks after the activity - no exceptions. Learners</w:t>
      </w:r>
      <w:r>
        <w:t xml:space="preserve"> </w:t>
      </w:r>
      <w:r>
        <w:t>may then view/print statement of credit.</w:t>
      </w:r>
    </w:p>
    <w:p w14:paraId="080AF630" w14:textId="6EF7EAD2" w:rsidR="001428AB" w:rsidRDefault="0059500E" w:rsidP="0059500E">
      <w:r>
        <w:t>Attention Pharmacists and Pharmacy Techs: Failure to provide your correct NABP AND Date of Birth information, in the required format,</w:t>
      </w:r>
      <w:r>
        <w:t xml:space="preserve"> </w:t>
      </w:r>
      <w:r>
        <w:t>may result in the loss of credit for this activity. Pharmacists should log into the CPE monitor 8 weeks after the last session of the activity</w:t>
      </w:r>
      <w:r>
        <w:t xml:space="preserve"> </w:t>
      </w:r>
      <w:r>
        <w:t>to ensure their credit is captured correctly.</w:t>
      </w:r>
    </w:p>
    <w:p w14:paraId="37F8673C" w14:textId="4F9D46D5" w:rsidR="00560ADD" w:rsidRDefault="00560ADD" w:rsidP="0059500E"/>
    <w:p w14:paraId="5FB331A5" w14:textId="78845FBA" w:rsidR="00560ADD" w:rsidRDefault="00560ADD" w:rsidP="0059500E"/>
    <w:p w14:paraId="09596C24" w14:textId="46966770" w:rsidR="00560ADD" w:rsidRDefault="00560ADD" w:rsidP="0059500E"/>
    <w:p w14:paraId="130AFCAC" w14:textId="278C02D1" w:rsidR="00560ADD" w:rsidRDefault="00560ADD" w:rsidP="0059500E"/>
    <w:p w14:paraId="4154C579" w14:textId="6C28799D" w:rsidR="00560ADD" w:rsidRDefault="00560ADD" w:rsidP="0059500E"/>
    <w:p w14:paraId="67CE60E3" w14:textId="7367D12F" w:rsidR="00560ADD" w:rsidRDefault="00560ADD" w:rsidP="0059500E"/>
    <w:p w14:paraId="70D0E76A" w14:textId="194ACAB7" w:rsidR="00560ADD" w:rsidRDefault="00560ADD" w:rsidP="0059500E"/>
    <w:p w14:paraId="654F9609" w14:textId="393BC304" w:rsidR="00560ADD" w:rsidRDefault="00560ADD" w:rsidP="0059500E"/>
    <w:p w14:paraId="39ADCE4B" w14:textId="77777777" w:rsidR="00560ADD" w:rsidRDefault="00560ADD"/>
    <w:p w14:paraId="7ADAEEC0" w14:textId="078BFAD1" w:rsidR="001428AB" w:rsidRPr="001428AB" w:rsidRDefault="001428AB">
      <w:pPr>
        <w:rPr>
          <w:u w:val="single"/>
        </w:rPr>
      </w:pPr>
      <w:r w:rsidRPr="001428AB">
        <w:rPr>
          <w:u w:val="single"/>
        </w:rPr>
        <w:lastRenderedPageBreak/>
        <w:t xml:space="preserve">Speakers/Planners with </w:t>
      </w:r>
      <w:proofErr w:type="gramStart"/>
      <w:r w:rsidRPr="001428AB">
        <w:rPr>
          <w:u w:val="single"/>
        </w:rPr>
        <w:t>Disclosures</w:t>
      </w:r>
      <w:r w:rsidR="00560ADD">
        <w:rPr>
          <w:u w:val="single"/>
        </w:rPr>
        <w:t xml:space="preserve">  (</w:t>
      </w:r>
      <w:proofErr w:type="gramEnd"/>
      <w:r w:rsidR="00560ADD">
        <w:rPr>
          <w:u w:val="single"/>
        </w:rPr>
        <w:t xml:space="preserve">state/and or </w:t>
      </w:r>
      <w:r w:rsidR="00FB1FEC">
        <w:rPr>
          <w:u w:val="single"/>
        </w:rPr>
        <w:t>add to slide)</w:t>
      </w:r>
    </w:p>
    <w:p w14:paraId="55A437E8" w14:textId="5F738459" w:rsidR="001428AB" w:rsidRDefault="001428AB">
      <w:r w:rsidRPr="0059500E">
        <w:rPr>
          <w:b/>
          <w:bCs/>
        </w:rPr>
        <w:t>Carmona, Richard</w:t>
      </w:r>
      <w:r w:rsidRPr="001428AB">
        <w:t xml:space="preserve">, MD, RN, MPH, FACS, Distinguished Professor, U of Arizona - </w:t>
      </w:r>
      <w:r w:rsidR="000B7873">
        <w:t>has</w:t>
      </w:r>
      <w:r w:rsidRPr="001428AB">
        <w:t xml:space="preserve"> the following relationship(s): </w:t>
      </w:r>
      <w:proofErr w:type="spellStart"/>
      <w:r w:rsidRPr="001428AB">
        <w:t>mckesson</w:t>
      </w:r>
      <w:proofErr w:type="spellEnd"/>
      <w:r w:rsidRPr="001428AB">
        <w:t xml:space="preserve"> </w:t>
      </w:r>
      <w:proofErr w:type="spellStart"/>
      <w:r w:rsidRPr="001428AB">
        <w:t>clorox</w:t>
      </w:r>
      <w:proofErr w:type="spellEnd"/>
      <w:r w:rsidRPr="001428AB">
        <w:t xml:space="preserve"> </w:t>
      </w:r>
      <w:proofErr w:type="spellStart"/>
      <w:r w:rsidRPr="001428AB">
        <w:t>herbalife</w:t>
      </w:r>
      <w:proofErr w:type="spellEnd"/>
      <w:r w:rsidRPr="001428AB">
        <w:t xml:space="preserve"> Better Therapeutics - </w:t>
      </w:r>
      <w:r w:rsidR="000B7873">
        <w:t>Director</w:t>
      </w:r>
    </w:p>
    <w:p w14:paraId="525A5FA3" w14:textId="5F41AFAE" w:rsidR="001428AB" w:rsidRDefault="001428AB">
      <w:r w:rsidRPr="0059500E">
        <w:rPr>
          <w:b/>
          <w:bCs/>
        </w:rPr>
        <w:t>Mullen, William,</w:t>
      </w:r>
      <w:r w:rsidRPr="001428AB">
        <w:t xml:space="preserve"> MPH, Director of </w:t>
      </w:r>
      <w:proofErr w:type="gramStart"/>
      <w:r w:rsidRPr="001428AB">
        <w:t>Real World</w:t>
      </w:r>
      <w:proofErr w:type="gramEnd"/>
      <w:r w:rsidRPr="001428AB">
        <w:t xml:space="preserve"> Evidence, Indivior Medical Affairs </w:t>
      </w:r>
      <w:r w:rsidR="000B7873">
        <w:t>–</w:t>
      </w:r>
      <w:r w:rsidRPr="001428AB">
        <w:t xml:space="preserve"> </w:t>
      </w:r>
      <w:r w:rsidR="000B7873">
        <w:t xml:space="preserve">has </w:t>
      </w:r>
      <w:r w:rsidRPr="001428AB">
        <w:t xml:space="preserve">the following relationship(s): Indivior </w:t>
      </w:r>
      <w:r>
        <w:t>–</w:t>
      </w:r>
      <w:r w:rsidRPr="001428AB">
        <w:t xml:space="preserve"> Employee</w:t>
      </w:r>
    </w:p>
    <w:p w14:paraId="0B76E61D" w14:textId="61ABF7D3" w:rsidR="001428AB" w:rsidRDefault="001428AB">
      <w:r w:rsidRPr="0059500E">
        <w:rPr>
          <w:b/>
          <w:bCs/>
        </w:rPr>
        <w:t>Ridpath, Alison</w:t>
      </w:r>
      <w:r w:rsidRPr="001428AB">
        <w:t xml:space="preserve">, MD, MPH, Medical Officer, CDC </w:t>
      </w:r>
      <w:r w:rsidR="000B7873">
        <w:t>–</w:t>
      </w:r>
      <w:r w:rsidRPr="001428AB">
        <w:t xml:space="preserve"> </w:t>
      </w:r>
      <w:r w:rsidR="000B7873">
        <w:t>has</w:t>
      </w:r>
      <w:r w:rsidRPr="001428AB">
        <w:t xml:space="preserve"> the following relationship(s): JNJ - individual stocks; PFE - individual stocks; MDT - individual stocks; ALLO - individual stocks; INFI - individual stocks; ABBV - individual stocks; TMO - individual stocks; ABT - individual stocks; AMRN - individual stocks; MMM - individual stocks</w:t>
      </w:r>
    </w:p>
    <w:p w14:paraId="546E5EE5" w14:textId="50BC7AE3" w:rsidR="001428AB" w:rsidRDefault="001428AB">
      <w:r w:rsidRPr="0059500E">
        <w:rPr>
          <w:b/>
          <w:bCs/>
        </w:rPr>
        <w:t xml:space="preserve">Wen, Leana </w:t>
      </w:r>
      <w:r w:rsidR="000B7873">
        <w:rPr>
          <w:b/>
          <w:bCs/>
        </w:rPr>
        <w:t>–</w:t>
      </w:r>
      <w:r w:rsidRPr="001428AB">
        <w:t xml:space="preserve"> </w:t>
      </w:r>
      <w:r w:rsidR="000B7873">
        <w:t xml:space="preserve">has </w:t>
      </w:r>
      <w:r w:rsidRPr="001428AB">
        <w:t xml:space="preserve">the following relationship(s): </w:t>
      </w:r>
      <w:proofErr w:type="spellStart"/>
      <w:r w:rsidRPr="001428AB">
        <w:t>Glaukos</w:t>
      </w:r>
      <w:proofErr w:type="spellEnd"/>
      <w:r w:rsidRPr="001428AB">
        <w:t xml:space="preserve"> Corporation - Board of Directors; Kit Company - Advisor; Better Care Strategic Advising LLC - Sole proprietor consultant; Avalere Health - Advisor; Behavioral Health Group - Advisory board chair</w:t>
      </w:r>
    </w:p>
    <w:p w14:paraId="1ACA12EC" w14:textId="15987ECD" w:rsidR="000B7873" w:rsidRDefault="001428AB">
      <w:r w:rsidRPr="0059500E">
        <w:rPr>
          <w:b/>
          <w:bCs/>
        </w:rPr>
        <w:t>Van Tyle, Kendall</w:t>
      </w:r>
      <w:r w:rsidRPr="001428AB">
        <w:t xml:space="preserve">, PharmD, Phoenix Area Pharmacy Informaticist, Indian Health Service - </w:t>
      </w:r>
      <w:r w:rsidR="000B7873">
        <w:t>has</w:t>
      </w:r>
      <w:r w:rsidRPr="001428AB">
        <w:t xml:space="preserve"> the following relationship(s): </w:t>
      </w:r>
      <w:proofErr w:type="spellStart"/>
      <w:r w:rsidRPr="001428AB">
        <w:t>Abbvie</w:t>
      </w:r>
      <w:proofErr w:type="spellEnd"/>
      <w:r w:rsidRPr="001428AB">
        <w:t>, Johnson and Johnson - small amount of individual stocks</w:t>
      </w:r>
    </w:p>
    <w:p w14:paraId="4FEA9D24" w14:textId="4B98B401" w:rsidR="000B7873" w:rsidRPr="000B7873" w:rsidRDefault="000B7873" w:rsidP="000B7873">
      <w:pPr>
        <w:rPr>
          <w:b/>
          <w:bCs/>
        </w:rPr>
      </w:pPr>
      <w:proofErr w:type="gramStart"/>
      <w:r w:rsidRPr="000B7873">
        <w:rPr>
          <w:b/>
          <w:bCs/>
        </w:rPr>
        <w:t>All</w:t>
      </w:r>
      <w:r>
        <w:rPr>
          <w:b/>
          <w:bCs/>
        </w:rPr>
        <w:t xml:space="preserve"> of</w:t>
      </w:r>
      <w:proofErr w:type="gramEnd"/>
      <w:r>
        <w:rPr>
          <w:b/>
          <w:bCs/>
        </w:rPr>
        <w:t xml:space="preserve"> the</w:t>
      </w:r>
      <w:r w:rsidRPr="000B7873">
        <w:rPr>
          <w:b/>
          <w:bCs/>
        </w:rPr>
        <w:t xml:space="preserve"> relevant financial relationships listed for these individuals have been mitigated.</w:t>
      </w:r>
    </w:p>
    <w:p w14:paraId="476A311A" w14:textId="77777777" w:rsidR="000B7873" w:rsidRDefault="000B7873"/>
    <w:sectPr w:rsidR="000B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589"/>
    <w:multiLevelType w:val="hybridMultilevel"/>
    <w:tmpl w:val="97EE27BE"/>
    <w:lvl w:ilvl="0" w:tplc="91168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AB"/>
    <w:rsid w:val="000B7873"/>
    <w:rsid w:val="001428AB"/>
    <w:rsid w:val="00560ADD"/>
    <w:rsid w:val="0059500E"/>
    <w:rsid w:val="00B50702"/>
    <w:rsid w:val="00DC1145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3F13"/>
  <w15:chartTrackingRefBased/>
  <w15:docId w15:val="{08B40D36-84BD-43B2-A8E6-028AEE7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Bueide, Rachel</dc:creator>
  <cp:keywords/>
  <dc:description/>
  <cp:lastModifiedBy>Bueide, Rachel</cp:lastModifiedBy>
  <cp:revision>4</cp:revision>
  <dcterms:created xsi:type="dcterms:W3CDTF">2022-05-17T18:58:00Z</dcterms:created>
  <dcterms:modified xsi:type="dcterms:W3CDTF">2022-05-17T19:22:00Z</dcterms:modified>
</cp:coreProperties>
</file>